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C0" w:rsidRPr="000168C0" w:rsidRDefault="000168C0" w:rsidP="000168C0">
      <w:r w:rsidRPr="000168C0">
        <w:rPr>
          <w:b/>
          <w:bCs/>
        </w:rPr>
        <w:t>1. The total number of staff members who did not receive overtime pay for the years 2018, 2019, 2020, and 2021 respectively.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220"/>
      </w:tblGrid>
      <w:tr w:rsidR="000168C0" w:rsidRPr="000168C0" w:rsidTr="000168C0">
        <w:trPr>
          <w:trHeight w:val="28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2017/18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1066</w:t>
            </w:r>
          </w:p>
        </w:tc>
      </w:tr>
      <w:tr w:rsidR="000168C0" w:rsidRPr="000168C0" w:rsidTr="000168C0">
        <w:trPr>
          <w:trHeight w:val="28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2018/19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1231</w:t>
            </w:r>
          </w:p>
        </w:tc>
      </w:tr>
      <w:tr w:rsidR="000168C0" w:rsidRPr="000168C0" w:rsidTr="000168C0">
        <w:trPr>
          <w:trHeight w:val="28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2019/20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1535</w:t>
            </w:r>
          </w:p>
        </w:tc>
      </w:tr>
      <w:tr w:rsidR="000168C0" w:rsidRPr="000168C0" w:rsidTr="000168C0">
        <w:trPr>
          <w:trHeight w:val="288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2020/21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1513</w:t>
            </w:r>
          </w:p>
        </w:tc>
      </w:tr>
    </w:tbl>
    <w:p w:rsidR="000168C0" w:rsidRDefault="000168C0"/>
    <w:p w:rsidR="000168C0" w:rsidRPr="000168C0" w:rsidRDefault="000168C0" w:rsidP="000168C0">
      <w:r w:rsidRPr="000168C0">
        <w:rPr>
          <w:b/>
          <w:bCs/>
        </w:rPr>
        <w:t>2. The total number of hours of unpaid overtime per year for the years 2018, 2019, 2020, and 2021 respectively.</w:t>
      </w:r>
    </w:p>
    <w:p w:rsidR="000168C0" w:rsidRDefault="000168C0" w:rsidP="000168C0">
      <w:pPr>
        <w:pStyle w:val="Default"/>
        <w:numPr>
          <w:ilvl w:val="0"/>
          <w:numId w:val="1"/>
        </w:numPr>
        <w:rPr>
          <w:color w:val="0070C0"/>
          <w:sz w:val="22"/>
          <w:szCs w:val="22"/>
        </w:rPr>
      </w:pPr>
      <w:r w:rsidRPr="006D4FEF">
        <w:rPr>
          <w:color w:val="0070C0"/>
          <w:sz w:val="22"/>
          <w:szCs w:val="22"/>
        </w:rPr>
        <w:t>I can conf</w:t>
      </w:r>
      <w:r>
        <w:rPr>
          <w:color w:val="0070C0"/>
          <w:sz w:val="22"/>
          <w:szCs w:val="22"/>
        </w:rPr>
        <w:t xml:space="preserve">irm in accordance with Section 1 </w:t>
      </w:r>
      <w:r w:rsidRPr="006D4FEF">
        <w:rPr>
          <w:color w:val="0070C0"/>
          <w:sz w:val="22"/>
          <w:szCs w:val="22"/>
        </w:rPr>
        <w:t xml:space="preserve">of the Freedom of Information Act 2000 (FOIA) that we do not </w:t>
      </w:r>
      <w:r>
        <w:rPr>
          <w:color w:val="0070C0"/>
          <w:sz w:val="22"/>
          <w:szCs w:val="22"/>
        </w:rPr>
        <w:t>hold the</w:t>
      </w:r>
      <w:r w:rsidRPr="006D4FEF">
        <w:rPr>
          <w:color w:val="0070C0"/>
          <w:sz w:val="22"/>
          <w:szCs w:val="22"/>
        </w:rPr>
        <w:t xml:space="preserve"> information</w:t>
      </w:r>
      <w:r>
        <w:rPr>
          <w:color w:val="0070C0"/>
          <w:sz w:val="22"/>
          <w:szCs w:val="22"/>
        </w:rPr>
        <w:t xml:space="preserve"> you have requested. Therefore we cannot provide this information.</w:t>
      </w:r>
    </w:p>
    <w:p w:rsidR="000168C0" w:rsidRDefault="000168C0" w:rsidP="000168C0">
      <w:pPr>
        <w:pStyle w:val="Default"/>
        <w:ind w:left="360"/>
        <w:rPr>
          <w:color w:val="0070C0"/>
          <w:sz w:val="22"/>
          <w:szCs w:val="22"/>
        </w:rPr>
      </w:pPr>
    </w:p>
    <w:p w:rsidR="000168C0" w:rsidRDefault="000168C0" w:rsidP="000168C0">
      <w:pPr>
        <w:pStyle w:val="Default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Under the FOIA</w:t>
      </w:r>
      <w:r w:rsidRPr="006D4FEF">
        <w:rPr>
          <w:color w:val="0070C0"/>
          <w:sz w:val="22"/>
          <w:szCs w:val="22"/>
        </w:rPr>
        <w:t xml:space="preserve">, we are not required to create this information in order to answer your request. </w:t>
      </w:r>
      <w:r>
        <w:rPr>
          <w:color w:val="0070C0"/>
          <w:sz w:val="22"/>
          <w:szCs w:val="22"/>
        </w:rPr>
        <w:t>I should explain that the FOIA</w:t>
      </w:r>
      <w:r w:rsidRPr="006D4FEF">
        <w:rPr>
          <w:color w:val="0070C0"/>
          <w:sz w:val="22"/>
          <w:szCs w:val="22"/>
        </w:rPr>
        <w:t xml:space="preserve"> is to do with transparency of information held by public authorities. It gives an individual the right to access recorded information held by </w:t>
      </w:r>
      <w:r>
        <w:rPr>
          <w:color w:val="0070C0"/>
          <w:sz w:val="22"/>
          <w:szCs w:val="22"/>
        </w:rPr>
        <w:t xml:space="preserve">public authorities. The FOIA </w:t>
      </w:r>
      <w:r w:rsidRPr="006D4FEF">
        <w:rPr>
          <w:color w:val="0070C0"/>
          <w:sz w:val="22"/>
          <w:szCs w:val="22"/>
        </w:rPr>
        <w:t>does not require public authorities to generate information, or to answer questions, provide explanations or give opinions, unless this is recorded information that they already hold.</w:t>
      </w:r>
    </w:p>
    <w:p w:rsidR="000168C0" w:rsidRDefault="000168C0"/>
    <w:p w:rsidR="000168C0" w:rsidRPr="000168C0" w:rsidRDefault="000168C0" w:rsidP="000168C0">
      <w:r w:rsidRPr="000168C0">
        <w:rPr>
          <w:b/>
          <w:bCs/>
        </w:rPr>
        <w:t>3. The total number of nurses and doctors in employment at the start of the years 2018, 2019, 2020, and 2021 respectively. </w:t>
      </w:r>
    </w:p>
    <w:tbl>
      <w:tblPr>
        <w:tblW w:w="723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756"/>
        <w:gridCol w:w="756"/>
        <w:gridCol w:w="756"/>
        <w:gridCol w:w="756"/>
        <w:gridCol w:w="756"/>
      </w:tblGrid>
      <w:tr w:rsidR="000168C0" w:rsidRPr="000168C0" w:rsidTr="000168C0">
        <w:trPr>
          <w:trHeight w:val="300"/>
        </w:trPr>
        <w:tc>
          <w:tcPr>
            <w:tcW w:w="3456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Staff Group</w:t>
            </w:r>
          </w:p>
        </w:tc>
        <w:tc>
          <w:tcPr>
            <w:tcW w:w="756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2018</w:t>
            </w:r>
          </w:p>
        </w:tc>
        <w:tc>
          <w:tcPr>
            <w:tcW w:w="756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2019</w:t>
            </w:r>
          </w:p>
        </w:tc>
        <w:tc>
          <w:tcPr>
            <w:tcW w:w="756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2020</w:t>
            </w:r>
          </w:p>
        </w:tc>
        <w:tc>
          <w:tcPr>
            <w:tcW w:w="756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2021</w:t>
            </w:r>
          </w:p>
        </w:tc>
        <w:tc>
          <w:tcPr>
            <w:tcW w:w="756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2022</w:t>
            </w:r>
          </w:p>
        </w:tc>
      </w:tr>
      <w:tr w:rsidR="000168C0" w:rsidRPr="000168C0" w:rsidTr="000168C0">
        <w:trPr>
          <w:trHeight w:val="300"/>
        </w:trPr>
        <w:tc>
          <w:tcPr>
            <w:tcW w:w="345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Medical and Dental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149</w:t>
            </w:r>
          </w:p>
        </w:tc>
      </w:tr>
      <w:tr w:rsidR="000168C0" w:rsidRPr="000168C0" w:rsidTr="000168C0">
        <w:trPr>
          <w:trHeight w:val="300"/>
        </w:trPr>
        <w:tc>
          <w:tcPr>
            <w:tcW w:w="345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Nursing and Midwifery Registered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431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440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421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416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413</w:t>
            </w:r>
          </w:p>
        </w:tc>
      </w:tr>
      <w:tr w:rsidR="000168C0" w:rsidRPr="000168C0" w:rsidTr="000168C0">
        <w:trPr>
          <w:trHeight w:val="300"/>
        </w:trPr>
        <w:tc>
          <w:tcPr>
            <w:tcW w:w="345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0F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  <w:t>Grand Total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0F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  <w:t>557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0F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  <w:t>574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0F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  <w:t>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0F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  <w:t>559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0F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  <w:t>562</w:t>
            </w:r>
          </w:p>
        </w:tc>
      </w:tr>
    </w:tbl>
    <w:p w:rsidR="000168C0" w:rsidRDefault="000168C0"/>
    <w:p w:rsidR="000168C0" w:rsidRPr="000168C0" w:rsidRDefault="000168C0" w:rsidP="000168C0">
      <w:r w:rsidRPr="000168C0">
        <w:rPr>
          <w:b/>
          <w:bCs/>
        </w:rPr>
        <w:t>4. The total number of nurses and doctors who were newly employed during the years 2018, 2019, 2020, and 2021 respectively.</w:t>
      </w:r>
    </w:p>
    <w:tbl>
      <w:tblPr>
        <w:tblW w:w="64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756"/>
        <w:gridCol w:w="756"/>
        <w:gridCol w:w="756"/>
        <w:gridCol w:w="756"/>
      </w:tblGrid>
      <w:tr w:rsidR="000168C0" w:rsidRPr="000168C0" w:rsidTr="000168C0">
        <w:trPr>
          <w:trHeight w:val="300"/>
        </w:trPr>
        <w:tc>
          <w:tcPr>
            <w:tcW w:w="3456" w:type="dxa"/>
            <w:tcBorders>
              <w:top w:val="single" w:sz="8" w:space="0" w:color="979991"/>
              <w:left w:val="single" w:sz="8" w:space="0" w:color="979991"/>
              <w:bottom w:val="nil"/>
              <w:right w:val="nil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Staff Group</w:t>
            </w:r>
          </w:p>
        </w:tc>
        <w:tc>
          <w:tcPr>
            <w:tcW w:w="756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2018</w:t>
            </w:r>
          </w:p>
        </w:tc>
        <w:tc>
          <w:tcPr>
            <w:tcW w:w="756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2019</w:t>
            </w:r>
          </w:p>
        </w:tc>
        <w:tc>
          <w:tcPr>
            <w:tcW w:w="756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2020</w:t>
            </w:r>
          </w:p>
        </w:tc>
        <w:tc>
          <w:tcPr>
            <w:tcW w:w="756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2021</w:t>
            </w:r>
          </w:p>
        </w:tc>
      </w:tr>
      <w:tr w:rsidR="000168C0" w:rsidRPr="000168C0" w:rsidTr="000168C0">
        <w:trPr>
          <w:trHeight w:val="300"/>
        </w:trPr>
        <w:tc>
          <w:tcPr>
            <w:tcW w:w="3456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F0F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Medical and Dental</w:t>
            </w:r>
          </w:p>
        </w:tc>
        <w:tc>
          <w:tcPr>
            <w:tcW w:w="75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28</w:t>
            </w:r>
          </w:p>
        </w:tc>
      </w:tr>
      <w:tr w:rsidR="000168C0" w:rsidRPr="000168C0" w:rsidTr="000168C0">
        <w:trPr>
          <w:trHeight w:val="300"/>
        </w:trPr>
        <w:tc>
          <w:tcPr>
            <w:tcW w:w="3456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F0F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Nursing and Midwifery Registered</w:t>
            </w:r>
          </w:p>
        </w:tc>
        <w:tc>
          <w:tcPr>
            <w:tcW w:w="75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51</w:t>
            </w:r>
          </w:p>
        </w:tc>
      </w:tr>
      <w:tr w:rsidR="000168C0" w:rsidRPr="000168C0" w:rsidTr="000168C0">
        <w:trPr>
          <w:trHeight w:val="300"/>
        </w:trPr>
        <w:tc>
          <w:tcPr>
            <w:tcW w:w="3456" w:type="dxa"/>
            <w:tcBorders>
              <w:top w:val="nil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F0F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  <w:t>Grand Total</w:t>
            </w:r>
          </w:p>
        </w:tc>
        <w:tc>
          <w:tcPr>
            <w:tcW w:w="756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0F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0F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0F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0F4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548DD4" w:themeColor="text2" w:themeTint="99"/>
                <w:lang w:eastAsia="en-GB"/>
              </w:rPr>
              <w:t>79</w:t>
            </w:r>
          </w:p>
        </w:tc>
      </w:tr>
    </w:tbl>
    <w:p w:rsidR="000168C0" w:rsidRDefault="000168C0"/>
    <w:p w:rsidR="000168C0" w:rsidRPr="000168C0" w:rsidRDefault="000168C0" w:rsidP="000168C0">
      <w:r w:rsidRPr="000168C0">
        <w:rPr>
          <w:b/>
          <w:bCs/>
        </w:rPr>
        <w:t>5. Staff retention rates for the years 2018, 2019, 2020, and 2021 respectively.</w:t>
      </w:r>
    </w:p>
    <w:tbl>
      <w:tblPr>
        <w:tblW w:w="618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200"/>
        <w:gridCol w:w="1200"/>
        <w:gridCol w:w="1200"/>
        <w:gridCol w:w="1200"/>
      </w:tblGrid>
      <w:tr w:rsidR="000168C0" w:rsidRPr="000168C0" w:rsidTr="000168C0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2018</w:t>
            </w:r>
          </w:p>
        </w:tc>
        <w:tc>
          <w:tcPr>
            <w:tcW w:w="1200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2019</w:t>
            </w:r>
          </w:p>
        </w:tc>
        <w:tc>
          <w:tcPr>
            <w:tcW w:w="1200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2020</w:t>
            </w:r>
          </w:p>
        </w:tc>
        <w:tc>
          <w:tcPr>
            <w:tcW w:w="1200" w:type="dxa"/>
            <w:tcBorders>
              <w:top w:val="single" w:sz="8" w:space="0" w:color="979991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68C0" w:rsidRPr="000168C0" w:rsidRDefault="000168C0" w:rsidP="000168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2021</w:t>
            </w:r>
          </w:p>
        </w:tc>
      </w:tr>
      <w:tr w:rsidR="000168C0" w:rsidRPr="000168C0" w:rsidTr="000168C0">
        <w:trPr>
          <w:trHeight w:val="300"/>
        </w:trPr>
        <w:tc>
          <w:tcPr>
            <w:tcW w:w="1380" w:type="dxa"/>
            <w:tcBorders>
              <w:top w:val="single" w:sz="8" w:space="0" w:color="979991"/>
              <w:left w:val="single" w:sz="8" w:space="0" w:color="979991"/>
              <w:bottom w:val="single" w:sz="8" w:space="0" w:color="979991"/>
              <w:right w:val="nil"/>
            </w:tcBorders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C0" w:rsidRPr="000168C0" w:rsidRDefault="000168C0" w:rsidP="000168C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</w:pPr>
            <w:r w:rsidRPr="000168C0">
              <w:rPr>
                <w:rFonts w:ascii="Calibri" w:eastAsia="Calibri" w:hAnsi="Calibri" w:cs="Calibri"/>
                <w:b/>
                <w:bCs/>
                <w:color w:val="FFFFFF"/>
                <w:lang w:eastAsia="en-GB"/>
              </w:rPr>
              <w:t>Retention</w:t>
            </w:r>
          </w:p>
        </w:tc>
        <w:tc>
          <w:tcPr>
            <w:tcW w:w="1200" w:type="dxa"/>
            <w:tcBorders>
              <w:top w:val="nil"/>
              <w:left w:val="single" w:sz="8" w:space="0" w:color="979991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86.80%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85.46%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88.89%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79991"/>
              <w:right w:val="single" w:sz="8" w:space="0" w:color="97999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8C0" w:rsidRPr="000168C0" w:rsidRDefault="000168C0" w:rsidP="000168C0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</w:pPr>
            <w:r w:rsidRPr="000168C0">
              <w:rPr>
                <w:rFonts w:ascii="Calibri" w:eastAsia="Calibri" w:hAnsi="Calibri" w:cs="Calibri"/>
                <w:color w:val="548DD4" w:themeColor="text2" w:themeTint="99"/>
                <w:lang w:eastAsia="en-GB"/>
              </w:rPr>
              <w:t>87.63%</w:t>
            </w:r>
          </w:p>
        </w:tc>
      </w:tr>
    </w:tbl>
    <w:p w:rsidR="000168C0" w:rsidRDefault="000168C0">
      <w:bookmarkStart w:id="0" w:name="_GoBack"/>
      <w:bookmarkEnd w:id="0"/>
    </w:p>
    <w:sectPr w:rsidR="00016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2900"/>
    <w:multiLevelType w:val="hybridMultilevel"/>
    <w:tmpl w:val="D50A67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C0"/>
    <w:rsid w:val="000168C0"/>
    <w:rsid w:val="005425B9"/>
    <w:rsid w:val="008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Moorcroft, Craig</dc:creator>
  <cp:lastModifiedBy>Moorcroft, Craig</cp:lastModifiedBy>
  <cp:revision>1</cp:revision>
  <dcterms:created xsi:type="dcterms:W3CDTF">2022-04-13T14:45:00Z</dcterms:created>
  <dcterms:modified xsi:type="dcterms:W3CDTF">2022-04-13T14:52:00Z</dcterms:modified>
</cp:coreProperties>
</file>